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D21" w:rsidRDefault="00E90D21" w:rsidP="00E90D21">
      <w:pPr>
        <w:pStyle w:val="Heading1"/>
      </w:pPr>
      <w:r>
        <w:rPr>
          <w:color w:val="000000"/>
          <w:szCs w:val="28"/>
          <w:shd w:val="clear" w:color="auto" w:fill="00FF00"/>
        </w:rPr>
        <w:t>Past</w:t>
      </w:r>
    </w:p>
    <w:p w:rsidR="00C3300B" w:rsidRDefault="00E90D21" w:rsidP="00C3300B">
      <w:pPr>
        <w:pStyle w:val="NormalWeb"/>
        <w:numPr>
          <w:ilvl w:val="0"/>
          <w:numId w:val="28"/>
        </w:numPr>
        <w:spacing w:before="0" w:beforeAutospacing="0" w:after="0" w:afterAutospacing="0"/>
        <w:textAlignment w:val="baseline"/>
        <w:rPr>
          <w:color w:val="000000"/>
        </w:rPr>
      </w:pPr>
      <w:r>
        <w:rPr>
          <w:color w:val="000000"/>
        </w:rPr>
        <w:t xml:space="preserve">What </w:t>
      </w:r>
      <w:r>
        <w:rPr>
          <w:b/>
          <w:bCs/>
          <w:color w:val="000000"/>
        </w:rPr>
        <w:t>activities</w:t>
      </w:r>
      <w:r>
        <w:rPr>
          <w:color w:val="000000"/>
        </w:rPr>
        <w:t xml:space="preserve"> around local food have been attempted in the past?</w:t>
      </w:r>
    </w:p>
    <w:p w:rsidR="00C3300B" w:rsidRDefault="00E90D21" w:rsidP="00C3300B">
      <w:pPr>
        <w:pStyle w:val="NormalWeb"/>
        <w:numPr>
          <w:ilvl w:val="1"/>
          <w:numId w:val="28"/>
        </w:numPr>
        <w:spacing w:before="0" w:beforeAutospacing="0" w:after="0" w:afterAutospacing="0"/>
        <w:textAlignment w:val="baseline"/>
        <w:rPr>
          <w:color w:val="000000"/>
        </w:rPr>
      </w:pPr>
      <w:r w:rsidRPr="00C3300B">
        <w:rPr>
          <w:color w:val="000000"/>
        </w:rPr>
        <w:t xml:space="preserve">Who was leading these activities? </w:t>
      </w:r>
    </w:p>
    <w:p w:rsidR="00E90D21" w:rsidRPr="00C3300B" w:rsidRDefault="00E90D21" w:rsidP="00C3300B">
      <w:pPr>
        <w:pStyle w:val="NormalWeb"/>
        <w:numPr>
          <w:ilvl w:val="1"/>
          <w:numId w:val="28"/>
        </w:numPr>
        <w:spacing w:before="0" w:beforeAutospacing="0" w:after="0" w:afterAutospacing="0"/>
        <w:textAlignment w:val="baseline"/>
        <w:rPr>
          <w:color w:val="000000"/>
        </w:rPr>
      </w:pPr>
      <w:r w:rsidRPr="00C3300B">
        <w:rPr>
          <w:color w:val="000000"/>
        </w:rPr>
        <w:t>Have there been areas of overlap that could have shared resources or expertise?</w:t>
      </w:r>
    </w:p>
    <w:p w:rsidR="00E90D21" w:rsidRDefault="00E90D21" w:rsidP="00C3300B">
      <w:pPr>
        <w:pStyle w:val="NormalWeb"/>
        <w:numPr>
          <w:ilvl w:val="0"/>
          <w:numId w:val="28"/>
        </w:numPr>
        <w:spacing w:before="0" w:beforeAutospacing="0" w:after="0" w:afterAutospacing="0"/>
        <w:textAlignment w:val="baseline"/>
        <w:rPr>
          <w:color w:val="000000"/>
        </w:rPr>
      </w:pPr>
      <w:r>
        <w:rPr>
          <w:color w:val="000000"/>
        </w:rPr>
        <w:t>What worked and what didn’t work?</w:t>
      </w:r>
    </w:p>
    <w:p w:rsidR="00C3300B" w:rsidRDefault="00E90D21" w:rsidP="00C3300B">
      <w:pPr>
        <w:pStyle w:val="NormalWeb"/>
        <w:numPr>
          <w:ilvl w:val="0"/>
          <w:numId w:val="28"/>
        </w:numPr>
        <w:spacing w:before="0" w:beforeAutospacing="0" w:after="0" w:afterAutospacing="0"/>
        <w:textAlignment w:val="baseline"/>
        <w:rPr>
          <w:color w:val="000000"/>
        </w:rPr>
      </w:pPr>
      <w:r>
        <w:rPr>
          <w:color w:val="000000"/>
        </w:rPr>
        <w:t xml:space="preserve">For activities that didn’t work, what made these efforts </w:t>
      </w:r>
      <w:r>
        <w:rPr>
          <w:b/>
          <w:bCs/>
          <w:color w:val="000000"/>
        </w:rPr>
        <w:t>unsuccessful</w:t>
      </w:r>
      <w:r>
        <w:rPr>
          <w:color w:val="000000"/>
        </w:rPr>
        <w:t>?</w:t>
      </w:r>
    </w:p>
    <w:p w:rsidR="00C3300B" w:rsidRPr="00C3300B" w:rsidRDefault="00C3300B" w:rsidP="00C3300B">
      <w:pPr>
        <w:pStyle w:val="NormalWeb"/>
        <w:numPr>
          <w:ilvl w:val="1"/>
          <w:numId w:val="28"/>
        </w:numPr>
        <w:spacing w:before="0" w:beforeAutospacing="0" w:after="0" w:afterAutospacing="0"/>
        <w:textAlignment w:val="baseline"/>
      </w:pPr>
      <w:r w:rsidRPr="00C3300B">
        <w:rPr>
          <w:color w:val="000000"/>
        </w:rPr>
        <w:t xml:space="preserve">What logistical </w:t>
      </w:r>
      <w:r w:rsidRPr="00C3300B">
        <w:rPr>
          <w:b/>
          <w:bCs/>
          <w:color w:val="000000"/>
        </w:rPr>
        <w:t>challenges</w:t>
      </w:r>
      <w:r w:rsidRPr="00C3300B">
        <w:rPr>
          <w:color w:val="000000"/>
        </w:rPr>
        <w:t xml:space="preserve"> have come up?</w:t>
      </w:r>
    </w:p>
    <w:p w:rsidR="00C3300B" w:rsidRPr="00C3300B" w:rsidRDefault="00E90D21" w:rsidP="00C3300B">
      <w:pPr>
        <w:pStyle w:val="NormalWeb"/>
        <w:numPr>
          <w:ilvl w:val="1"/>
          <w:numId w:val="28"/>
        </w:numPr>
        <w:spacing w:before="0" w:beforeAutospacing="0" w:after="0" w:afterAutospacing="0"/>
        <w:textAlignment w:val="baseline"/>
      </w:pPr>
      <w:r w:rsidRPr="00C3300B">
        <w:rPr>
          <w:color w:val="000000"/>
        </w:rPr>
        <w:t>What activities are worth trying again?</w:t>
      </w:r>
    </w:p>
    <w:p w:rsidR="00C3300B" w:rsidRDefault="00C3300B" w:rsidP="00C3300B">
      <w:pPr>
        <w:pStyle w:val="NormalWeb"/>
        <w:spacing w:before="0" w:beforeAutospacing="0" w:after="0" w:afterAutospacing="0"/>
        <w:textAlignment w:val="baseline"/>
      </w:pPr>
    </w:p>
    <w:p w:rsidR="00E90D21" w:rsidRDefault="00E90D21" w:rsidP="00E90D21">
      <w:pPr>
        <w:pStyle w:val="Heading2"/>
      </w:pPr>
      <w:r>
        <w:rPr>
          <w:i w:val="0"/>
          <w:iCs/>
          <w:color w:val="000000"/>
          <w:szCs w:val="24"/>
          <w:shd w:val="clear" w:color="auto" w:fill="FFFF00"/>
        </w:rPr>
        <w:t>Activities</w:t>
      </w:r>
    </w:p>
    <w:p w:rsidR="00E90D21" w:rsidRDefault="00E90D21" w:rsidP="00E90D21">
      <w:pPr>
        <w:pStyle w:val="NormalWeb"/>
        <w:spacing w:before="0" w:beforeAutospacing="0" w:after="0" w:afterAutospacing="0"/>
      </w:pPr>
      <w:r>
        <w:rPr>
          <w:color w:val="000000"/>
        </w:rPr>
        <w:t>An important early finding revealed that local food activities in the past were not well organized, owing to the naturally healthier and more local conventional food system (i.e. there was less of a need).  As time passed and the food retail system consolidated and left the inner-urban communities, a do-it-yourself attitude grew among the population.  This lack of organization could also be attributable to the individualistic nature of small home garden plots (which for many was a continuance of rural life brought up from the south).</w:t>
      </w:r>
    </w:p>
    <w:p w:rsidR="00E90D21" w:rsidRDefault="00E90D21" w:rsidP="00E90D21"/>
    <w:p w:rsidR="00E90D21" w:rsidRDefault="00E90D21" w:rsidP="00E90D21">
      <w:pPr>
        <w:pStyle w:val="NormalWeb"/>
        <w:spacing w:before="0" w:beforeAutospacing="0" w:after="0" w:afterAutospacing="0"/>
      </w:pPr>
      <w:r>
        <w:rPr>
          <w:color w:val="000000"/>
        </w:rPr>
        <w:t xml:space="preserve">One mention of local food in the community was the missed opportunity in the previous iteration of community education programming at Flint schools.  This was seen as a place where urban </w:t>
      </w:r>
      <w:proofErr w:type="gramStart"/>
      <w:r>
        <w:rPr>
          <w:color w:val="000000"/>
        </w:rPr>
        <w:t>ag</w:t>
      </w:r>
      <w:proofErr w:type="gramEnd"/>
      <w:r>
        <w:rPr>
          <w:color w:val="000000"/>
        </w:rPr>
        <w:t xml:space="preserve"> education could have fit in nicely, but was largely absent in spite of many schools having greenhouses, available land, and community schools directors.  Given the recent reinvestment in this program by the Mott Foundation and the </w:t>
      </w:r>
      <w:proofErr w:type="spellStart"/>
      <w:r>
        <w:rPr>
          <w:color w:val="000000"/>
        </w:rPr>
        <w:t>Crim</w:t>
      </w:r>
      <w:proofErr w:type="spellEnd"/>
      <w:r>
        <w:rPr>
          <w:color w:val="000000"/>
        </w:rPr>
        <w:t>, as well as activity by Food Corps around local food, this opportunity may have a viable future.</w:t>
      </w:r>
    </w:p>
    <w:p w:rsidR="00E90D21" w:rsidRDefault="00E90D21" w:rsidP="00E90D21"/>
    <w:p w:rsidR="00E90D21" w:rsidRDefault="00E90D21" w:rsidP="00E90D21">
      <w:pPr>
        <w:pStyle w:val="NormalWeb"/>
        <w:spacing w:before="0" w:beforeAutospacing="0" w:after="0" w:afterAutospacing="0"/>
      </w:pPr>
      <w:r>
        <w:rPr>
          <w:color w:val="000000"/>
        </w:rPr>
        <w:t>Because of the relative lack of organized activity around local food, many of the programs that were mentioned could be found in the more recent past.  Organizations like the Food Bank, Master Gardeners, Keep Genesee County Beautiful, and Satellites of the Flint Farmers’ Market were seen as contributing small pieces to the anti-hunger and local food efforts in the community.  Still, much of the dialogue remained on how many activities were no longer functioning as they once did or how more still needed to be done.  In particular, concerns were raised about how in spite of a growing charitable food distribution network, many in the community remain hungry or poorly nourished.</w:t>
      </w:r>
    </w:p>
    <w:p w:rsidR="00E90D21" w:rsidRDefault="00E90D21" w:rsidP="00E90D21"/>
    <w:p w:rsidR="00E90D21" w:rsidRDefault="00E90D21" w:rsidP="00E90D21">
      <w:pPr>
        <w:pStyle w:val="Heading2"/>
      </w:pPr>
      <w:r>
        <w:rPr>
          <w:i w:val="0"/>
          <w:iCs/>
          <w:color w:val="000000"/>
          <w:szCs w:val="24"/>
          <w:shd w:val="clear" w:color="auto" w:fill="FFFF00"/>
        </w:rPr>
        <w:t>Reasons for Lack of Success</w:t>
      </w:r>
    </w:p>
    <w:p w:rsidR="00E90D21" w:rsidRDefault="00E90D21" w:rsidP="00E90D21">
      <w:pPr>
        <w:pStyle w:val="NormalWeb"/>
        <w:spacing w:before="0" w:beforeAutospacing="0" w:after="0" w:afterAutospacing="0"/>
      </w:pPr>
      <w:r>
        <w:rPr>
          <w:color w:val="000000"/>
        </w:rPr>
        <w:t xml:space="preserve">Dovetailing from this list came a well-defined set of reasons for a lack of success.  Foremost among them is that local food and anti-hunger organizations remain invisible </w:t>
      </w:r>
      <w:proofErr w:type="gramStart"/>
      <w:r>
        <w:rPr>
          <w:color w:val="000000"/>
        </w:rPr>
        <w:t>to</w:t>
      </w:r>
      <w:proofErr w:type="gramEnd"/>
      <w:r>
        <w:rPr>
          <w:color w:val="000000"/>
        </w:rPr>
        <w:t xml:space="preserve"> much of the population: people just don’t know what programs are available.  An increase in communication and marketing through different channels might help increase exposure to the programs that do exist.</w:t>
      </w:r>
    </w:p>
    <w:p w:rsidR="00E90D21" w:rsidRDefault="00E90D21" w:rsidP="00E90D21"/>
    <w:p w:rsidR="00C80CC3" w:rsidRDefault="00E90D21" w:rsidP="00E90D21">
      <w:pPr>
        <w:pStyle w:val="NormalWeb"/>
        <w:spacing w:before="0" w:beforeAutospacing="0" w:after="0" w:afterAutospacing="0"/>
        <w:rPr>
          <w:color w:val="000000"/>
        </w:rPr>
      </w:pPr>
      <w:r>
        <w:rPr>
          <w:color w:val="000000"/>
        </w:rPr>
        <w:t xml:space="preserve">For food-growing initiatives, theft or vandalism was a persistent concern.  Some people have been dissuaded from continuing in gardening because of the threat of having a harvest either taken or destroyed.  A proposed solution included growing uncommon vegetables that people would be less likely to identify as edible.  This concern about theft relates closely to the continued disconnect between food distribution programming and people who are seeking </w:t>
      </w:r>
      <w:r>
        <w:rPr>
          <w:color w:val="000000"/>
        </w:rPr>
        <w:lastRenderedPageBreak/>
        <w:t>healthy food options</w:t>
      </w:r>
      <w:r w:rsidR="00C80CC3">
        <w:rPr>
          <w:color w:val="000000"/>
        </w:rPr>
        <w:t>.  It also speaks to the idea that although people in such neighborhoods do in fact seek out healthy food, the opposite assumption is sometimes made by outsiders.</w:t>
      </w:r>
    </w:p>
    <w:p w:rsidR="00E90D21" w:rsidRDefault="00E90D21" w:rsidP="00E90D21"/>
    <w:p w:rsidR="00E90D21" w:rsidRDefault="00E90D21" w:rsidP="00E90D21">
      <w:pPr>
        <w:pStyle w:val="NormalWeb"/>
        <w:spacing w:before="0" w:beforeAutospacing="0" w:after="0" w:afterAutospacing="0"/>
      </w:pPr>
      <w:r>
        <w:rPr>
          <w:color w:val="000000"/>
        </w:rPr>
        <w:t>Loss of human and capital resources also presented a commonly identified reason for a lack of success.  Many programs are supported through grant funding or small-scale investments, and are not able to reach the point of financial sustainability before the funding stream ends.  A related issue is that, when local food initiatives have been supported by volunteer time and labor, a loss of enthusiasm/energy by the organizational champion can often mean an abrupt end to the endeavor.</w:t>
      </w:r>
    </w:p>
    <w:p w:rsidR="00E90D21" w:rsidRDefault="00E90D21" w:rsidP="00E90D21"/>
    <w:p w:rsidR="00E90D21" w:rsidRDefault="00E90D21" w:rsidP="00E90D21">
      <w:pPr>
        <w:pStyle w:val="Heading2"/>
      </w:pPr>
      <w:r>
        <w:rPr>
          <w:i w:val="0"/>
          <w:iCs/>
          <w:color w:val="000000"/>
          <w:szCs w:val="24"/>
          <w:shd w:val="clear" w:color="auto" w:fill="FFFF00"/>
        </w:rPr>
        <w:t>Broader Challenges</w:t>
      </w:r>
    </w:p>
    <w:p w:rsidR="00E90D21" w:rsidRDefault="00E90D21" w:rsidP="00E90D21">
      <w:pPr>
        <w:pStyle w:val="NormalWeb"/>
        <w:spacing w:before="0" w:beforeAutospacing="0" w:after="0" w:afterAutospacing="0"/>
      </w:pPr>
      <w:r>
        <w:rPr>
          <w:color w:val="000000"/>
        </w:rPr>
        <w:t>Several broader-level challenges were identified which might limit the effectiveness of existing anti-hunger or local food initiatives.  As mentioned above, effective food distribution is difficult in a low-density, high-need city where neighborhoods continue to rapidly change in character and organizational attrition can bring difficulties in coordinating distribution efforts.  Chain grocery stores have long since left many neighborhoods, and the remaining stores are considered insufficient for meeting community nutritional needs.  Thus food procurement in both charitable and retail-based sectors remains problematic.</w:t>
      </w:r>
    </w:p>
    <w:p w:rsidR="00E90D21" w:rsidRDefault="00E90D21" w:rsidP="00E90D21"/>
    <w:p w:rsidR="00E90D21" w:rsidRDefault="00E90D21" w:rsidP="00E90D21">
      <w:pPr>
        <w:pStyle w:val="NormalWeb"/>
        <w:spacing w:before="0" w:beforeAutospacing="0" w:after="0" w:afterAutospacing="0"/>
      </w:pPr>
      <w:r>
        <w:rPr>
          <w:color w:val="000000"/>
        </w:rPr>
        <w:t>In a related vein, both food retail and local food programming are considered difficult to either access or afford.  People often do not know how to reach the resources that are available, or else they are unable to attend due to time conflicts.</w:t>
      </w:r>
    </w:p>
    <w:p w:rsidR="00E90D21" w:rsidRDefault="00E90D21" w:rsidP="00E90D21"/>
    <w:p w:rsidR="00E90D21" w:rsidRDefault="00E90D21" w:rsidP="00E90D21">
      <w:pPr>
        <w:pStyle w:val="NormalWeb"/>
        <w:spacing w:before="0" w:beforeAutospacing="0" w:after="0" w:afterAutospacing="0"/>
      </w:pPr>
      <w:r>
        <w:rPr>
          <w:color w:val="000000"/>
        </w:rPr>
        <w:t>On top of the issues related to finding opportunities to grow or purchase healthy food, behavior change was identified as a continued challenge in creating healthier communities.  Some initiatives were seen as lacking cultural awareness of differences in diet; behavior change was seen as necessarily rooted in respecting cultural differences but working toward a common goal of healthier, culturally appropriate recipes.</w:t>
      </w:r>
    </w:p>
    <w:p w:rsidR="00E90D21" w:rsidRDefault="00E90D21" w:rsidP="00E90D21"/>
    <w:p w:rsidR="00E90D21" w:rsidRDefault="00E90D21" w:rsidP="00E90D21">
      <w:pPr>
        <w:pStyle w:val="NormalWeb"/>
        <w:spacing w:before="0" w:beforeAutospacing="0" w:after="0" w:afterAutospacing="0"/>
      </w:pPr>
      <w:r>
        <w:rPr>
          <w:color w:val="000000"/>
        </w:rPr>
        <w:t>This concern about healthy eating was not limited to low-income communities, but rather reflected a broader cultural shift around the value of healthy eating and the pervasiveness of junk food in American culture.  The severity of the problem in low-income populations, however, is amplified because of the inability to buffer against negative health implications arising from poor dietary habits.</w:t>
      </w:r>
    </w:p>
    <w:p w:rsidR="00E90D21" w:rsidRDefault="00E90D21" w:rsidP="00E90D21"/>
    <w:p w:rsidR="00E90D21" w:rsidRDefault="00E90D21" w:rsidP="00E90D21">
      <w:pPr>
        <w:pStyle w:val="NormalWeb"/>
        <w:spacing w:before="0" w:beforeAutospacing="0" w:after="0" w:afterAutospacing="0"/>
      </w:pPr>
      <w:r>
        <w:rPr>
          <w:color w:val="000000"/>
        </w:rPr>
        <w:t xml:space="preserve">Two challenges centered on questions </w:t>
      </w:r>
      <w:r w:rsidR="00543644">
        <w:rPr>
          <w:color w:val="000000"/>
        </w:rPr>
        <w:t xml:space="preserve">about </w:t>
      </w:r>
      <w:r>
        <w:rPr>
          <w:color w:val="000000"/>
        </w:rPr>
        <w:t>land availability and allocation.  First was the question of what activities can be pursued on available land in the city.  Because the city is currently incorporating a new master plan, some misinformation exists regarding: how to access vacant land for gardening, whether chickens/livestock can be kept in the city, what kinds of food distribution activities are allowable, and so on.  The emergence of new ‘green’ residential zones presents an opportunity for urban agriculture, but information on what this means must continue to be disseminated.  As well, although land can be leased through the Land Bank, many were not aware of how to start this process (thus creating a hurdle for non-homeowners to enter the local food system).  </w:t>
      </w:r>
    </w:p>
    <w:p w:rsidR="00E90D21" w:rsidRDefault="00E90D21" w:rsidP="00E90D21"/>
    <w:p w:rsidR="00E90D21" w:rsidRDefault="00E90D21" w:rsidP="00E90D21">
      <w:pPr>
        <w:pStyle w:val="NormalWeb"/>
        <w:spacing w:before="0" w:beforeAutospacing="0" w:after="0" w:afterAutospacing="0"/>
      </w:pPr>
      <w:r>
        <w:rPr>
          <w:color w:val="000000"/>
        </w:rPr>
        <w:lastRenderedPageBreak/>
        <w:t xml:space="preserve">The second challenge regarding land use entailed the lack of a community gardening culture in the community </w:t>
      </w:r>
      <w:r>
        <w:rPr>
          <w:i/>
          <w:iCs/>
          <w:color w:val="000000"/>
        </w:rPr>
        <w:t>because</w:t>
      </w:r>
      <w:r>
        <w:rPr>
          <w:color w:val="000000"/>
        </w:rPr>
        <w:t xml:space="preserve"> of the vast amount of land available to garden.  Although this is a positive in that virtually anyone can find land to garden, it means that efforts can be spread so thin that the loss of one champion means the loss of a garden space (as mentioned above).</w:t>
      </w:r>
    </w:p>
    <w:p w:rsidR="00E90D21" w:rsidRDefault="00E90D21" w:rsidP="00E90D21"/>
    <w:p w:rsidR="00E90D21" w:rsidRDefault="00E90D21" w:rsidP="00E90D21">
      <w:pPr>
        <w:pStyle w:val="NormalWeb"/>
        <w:spacing w:before="0" w:beforeAutospacing="0" w:after="0" w:afterAutospacing="0"/>
      </w:pPr>
      <w:r>
        <w:rPr>
          <w:color w:val="000000"/>
        </w:rPr>
        <w:t>Two highly important social/cultural issues pervaded much of the conversations around broader challenges: the history of racial issues and continued mistrust, and the sense of loss felt from disinvestment in the community.  The legacy of racism in housing, employment, and urban renewal persists in the way people feel about land use changes (i.e. the master plan) and a general mistrust of government.  Residents have been wary of land use proposals that would make parts of the city too rural in character.</w:t>
      </w:r>
    </w:p>
    <w:p w:rsidR="00E90D21" w:rsidRDefault="00E90D21" w:rsidP="00E90D21"/>
    <w:p w:rsidR="00E90D21" w:rsidRDefault="00E90D21" w:rsidP="00E90D21">
      <w:pPr>
        <w:pStyle w:val="NormalWeb"/>
        <w:spacing w:before="0" w:beforeAutospacing="0" w:after="0" w:afterAutospacing="0"/>
      </w:pPr>
      <w:r>
        <w:rPr>
          <w:color w:val="000000"/>
        </w:rPr>
        <w:t>Importantly, others viewed this history of racial discrimination as now expanding to a broader social issue rooted in economic inequality, citing the increase in poverty throughout the city.  Even so, this concern speaks to the importance of perception and understanding historical processes in shaping local politics and land use concerns.</w:t>
      </w:r>
    </w:p>
    <w:p w:rsidR="00E90D21" w:rsidRDefault="00E90D21" w:rsidP="00E90D21"/>
    <w:p w:rsidR="00E90D21" w:rsidRDefault="00E90D21" w:rsidP="00E90D21">
      <w:pPr>
        <w:pStyle w:val="NormalWeb"/>
        <w:spacing w:before="0" w:beforeAutospacing="0" w:after="0" w:afterAutospacing="0"/>
      </w:pPr>
      <w:r>
        <w:rPr>
          <w:color w:val="000000"/>
        </w:rPr>
        <w:t>The second important social/cultural issue regarded the sense of loss experienced by people who have seen their neighborhoods literally fall down around them.  The loss of jobs was just the start of a process of decline, and after people move out they leave their homes behind.  Because of the haphazard nature of urban decline and demolition, it is easy to feel alienated within one’s own neighborhood as houses disappear from the landscape.  Some remarked that gardening was a comfort to this challenge, and that orienting people around the idea of making spaces green helped curb a sense of inevitable destruction.  This speaks to an important but perhaps invisible challenge faced by residents of such neighborhoods.</w:t>
      </w:r>
    </w:p>
    <w:p w:rsidR="00E90D21" w:rsidRDefault="00E90D21" w:rsidP="00E90D21"/>
    <w:p w:rsidR="00E90D21" w:rsidRDefault="00E90D21" w:rsidP="00E90D21">
      <w:pPr>
        <w:pStyle w:val="Heading1"/>
      </w:pPr>
      <w:r>
        <w:rPr>
          <w:color w:val="000000"/>
          <w:szCs w:val="28"/>
          <w:shd w:val="clear" w:color="auto" w:fill="00FF00"/>
        </w:rPr>
        <w:t>Present</w:t>
      </w:r>
    </w:p>
    <w:p w:rsidR="00E90D21" w:rsidRDefault="00E90D21" w:rsidP="00C3300B">
      <w:pPr>
        <w:pStyle w:val="NormalWeb"/>
        <w:numPr>
          <w:ilvl w:val="0"/>
          <w:numId w:val="29"/>
        </w:numPr>
        <w:spacing w:before="0" w:beforeAutospacing="0" w:after="0" w:afterAutospacing="0"/>
        <w:textAlignment w:val="baseline"/>
        <w:rPr>
          <w:color w:val="000000"/>
        </w:rPr>
      </w:pPr>
      <w:r>
        <w:rPr>
          <w:color w:val="000000"/>
        </w:rPr>
        <w:t xml:space="preserve">What </w:t>
      </w:r>
      <w:r>
        <w:rPr>
          <w:b/>
          <w:bCs/>
          <w:color w:val="000000"/>
        </w:rPr>
        <w:t>possibilities</w:t>
      </w:r>
      <w:r>
        <w:rPr>
          <w:color w:val="000000"/>
        </w:rPr>
        <w:t xml:space="preserve"> do you see in your neighborhood for local food?</w:t>
      </w:r>
    </w:p>
    <w:p w:rsidR="00E90D21" w:rsidRDefault="00E90D21" w:rsidP="00C3300B">
      <w:pPr>
        <w:pStyle w:val="NormalWeb"/>
        <w:numPr>
          <w:ilvl w:val="0"/>
          <w:numId w:val="29"/>
        </w:numPr>
        <w:spacing w:before="0" w:beforeAutospacing="0" w:after="0" w:afterAutospacing="0"/>
        <w:textAlignment w:val="baseline"/>
        <w:rPr>
          <w:color w:val="000000"/>
        </w:rPr>
      </w:pPr>
      <w:r>
        <w:rPr>
          <w:color w:val="000000"/>
        </w:rPr>
        <w:t xml:space="preserve">What </w:t>
      </w:r>
      <w:r>
        <w:rPr>
          <w:b/>
          <w:bCs/>
          <w:color w:val="000000"/>
        </w:rPr>
        <w:t>assets</w:t>
      </w:r>
      <w:r>
        <w:rPr>
          <w:color w:val="000000"/>
        </w:rPr>
        <w:t xml:space="preserve"> does your area have that could potentially create jobs in local food?</w:t>
      </w:r>
    </w:p>
    <w:p w:rsidR="00E90D21" w:rsidRDefault="00E90D21" w:rsidP="00C3300B">
      <w:pPr>
        <w:pStyle w:val="NormalWeb"/>
        <w:numPr>
          <w:ilvl w:val="1"/>
          <w:numId w:val="29"/>
        </w:numPr>
        <w:spacing w:before="0" w:beforeAutospacing="0" w:after="0" w:afterAutospacing="0"/>
        <w:textAlignment w:val="baseline"/>
        <w:rPr>
          <w:color w:val="000000"/>
        </w:rPr>
      </w:pPr>
      <w:r>
        <w:rPr>
          <w:color w:val="000000"/>
        </w:rPr>
        <w:t>How could your organization be involved?</w:t>
      </w:r>
    </w:p>
    <w:p w:rsidR="00E90D21" w:rsidRDefault="00E90D21" w:rsidP="00C3300B">
      <w:pPr>
        <w:pStyle w:val="NormalWeb"/>
        <w:numPr>
          <w:ilvl w:val="0"/>
          <w:numId w:val="29"/>
        </w:numPr>
        <w:spacing w:before="0" w:beforeAutospacing="0" w:after="0" w:afterAutospacing="0"/>
        <w:textAlignment w:val="baseline"/>
        <w:rPr>
          <w:color w:val="000000"/>
        </w:rPr>
      </w:pPr>
      <w:r>
        <w:rPr>
          <w:color w:val="000000"/>
        </w:rPr>
        <w:t xml:space="preserve">What additional </w:t>
      </w:r>
      <w:r>
        <w:rPr>
          <w:b/>
          <w:bCs/>
          <w:color w:val="000000"/>
        </w:rPr>
        <w:t>resources</w:t>
      </w:r>
      <w:r>
        <w:rPr>
          <w:color w:val="000000"/>
        </w:rPr>
        <w:t xml:space="preserve"> are needed to make this happen?</w:t>
      </w:r>
    </w:p>
    <w:p w:rsidR="00E90D21" w:rsidRDefault="00E90D21" w:rsidP="00E90D21"/>
    <w:p w:rsidR="00E90D21" w:rsidRDefault="00E90D21" w:rsidP="00E90D21">
      <w:pPr>
        <w:pStyle w:val="Heading2"/>
      </w:pPr>
      <w:r>
        <w:rPr>
          <w:i w:val="0"/>
          <w:iCs/>
          <w:color w:val="000000"/>
          <w:szCs w:val="24"/>
          <w:shd w:val="clear" w:color="auto" w:fill="FFFF00"/>
        </w:rPr>
        <w:t>Possibilities</w:t>
      </w:r>
    </w:p>
    <w:p w:rsidR="00E90D21" w:rsidRDefault="00E90D21" w:rsidP="00E90D21">
      <w:pPr>
        <w:pStyle w:val="NormalWeb"/>
        <w:spacing w:before="0" w:beforeAutospacing="0" w:after="0" w:afterAutospacing="0"/>
      </w:pPr>
      <w:r>
        <w:rPr>
          <w:color w:val="000000"/>
        </w:rPr>
        <w:t xml:space="preserve">Many future possibilities were presented, including activities that both have and have not been attempted in the past.  Ideas like co-ops/CSAs, food giveaways, and chef competitions have been reconceptualized.  One proposal for co-ops was to encourage small-scale gardeners to grow a lot of one particular crop, with the idea of capitalizing on economies of scale.  From there, the grower could partner with many others growing different crops to sell cooperatively at </w:t>
      </w:r>
      <w:r w:rsidR="00543644">
        <w:rPr>
          <w:color w:val="000000"/>
        </w:rPr>
        <w:t>farmers’ markets or elsewhere.</w:t>
      </w:r>
    </w:p>
    <w:p w:rsidR="00E90D21" w:rsidRDefault="00E90D21" w:rsidP="00E90D21"/>
    <w:p w:rsidR="00E90D21" w:rsidRDefault="00E90D21" w:rsidP="00E90D21">
      <w:pPr>
        <w:pStyle w:val="NormalWeb"/>
        <w:spacing w:before="0" w:beforeAutospacing="0" w:after="0" w:afterAutospacing="0"/>
      </w:pPr>
      <w:r>
        <w:rPr>
          <w:color w:val="000000"/>
        </w:rPr>
        <w:t xml:space="preserve">A common thread of community partnership arose in discussions ranging from chef competitions, to neighborhood garden tours/festivals, to local food community dinners.  While chef competitions have been held in the past, new ideas included holding such competitions in the community through partnerships of existing players (like the farmers’ market) and community partners who may not have been engaged previously.  Likewise, while edible flint hosts its own garden tour, ideas were presented for encouraging individual neighborhoods to </w:t>
      </w:r>
      <w:r>
        <w:rPr>
          <w:color w:val="000000"/>
        </w:rPr>
        <w:lastRenderedPageBreak/>
        <w:t>hold their own tours or festivals (similar to the Neighborhood Art Parades held across the city).  Community local food dinners could be held with a similar motivation.  Such dinners have been held at farmers’ markets and other local food venues, but taking them to the community could increase awareness of such efforts.</w:t>
      </w:r>
    </w:p>
    <w:p w:rsidR="00E90D21" w:rsidRDefault="00E90D21" w:rsidP="00E90D21"/>
    <w:p w:rsidR="00E90D21" w:rsidRDefault="00E90D21" w:rsidP="00E90D21">
      <w:pPr>
        <w:pStyle w:val="NormalWeb"/>
        <w:spacing w:before="0" w:beforeAutospacing="0" w:after="0" w:afterAutospacing="0"/>
      </w:pPr>
      <w:r>
        <w:rPr>
          <w:color w:val="000000"/>
        </w:rPr>
        <w:t>Several ideas were presented for making healthier food easier to access, including increased coordination with schools, a rethinking of food giveaways, and co-locating services.  Engagement with schools would include increasing curriculum on home economics-related subjects and connecting kids to local food growing venues.  Returning to the question of food distribution, the orientation of food giveaways was reconceptualized.  Rather than just giving the food away, churches and other d</w:t>
      </w:r>
      <w:r w:rsidR="00450854">
        <w:rPr>
          <w:color w:val="000000"/>
        </w:rPr>
        <w:t>istribution sites could request/encourage</w:t>
      </w:r>
      <w:r>
        <w:rPr>
          <w:color w:val="000000"/>
        </w:rPr>
        <w:t xml:space="preserve"> volunteering or other service in exchange for a box of food.  These sites could be connected with local urban farms/gardens that need help with planting, weeding, or harvesting.  Because many services are dispersed throughout the community, the idea of co-locating services would make it easier for people to access healthy food.  Ideas included conducting local food workshops at other community events, locating gardens where other activities are taking place, and doing more to connect partners like Food Corps and MSU Extension with schools and other community facilities.  One such example of this has been the co-location of Hurley’s pediatric clinic with the Flint Farmers’ Market.</w:t>
      </w:r>
    </w:p>
    <w:p w:rsidR="00E90D21" w:rsidRDefault="00E90D21" w:rsidP="00E90D21"/>
    <w:p w:rsidR="00E90D21" w:rsidRDefault="00E90D21" w:rsidP="00E90D21">
      <w:pPr>
        <w:pStyle w:val="NormalWeb"/>
        <w:spacing w:before="0" w:beforeAutospacing="0" w:after="0" w:afterAutospacing="0"/>
      </w:pPr>
      <w:r>
        <w:rPr>
          <w:color w:val="000000"/>
        </w:rPr>
        <w:t>Two key possibilities were presented that aim to change attitudes around healthy eating and local food.  The first is to encourage the replacement of grass cutting culture with increased local food production.  Many resources that are used for mowing could be redirected toward growing food, planting flowers, encouraging foraging, and creating habitats for bees and other animals.  On the healthy living side, a farm decathlon could connect gardening practices like planting, weeding, and tilling with physical activity competitions.  Such programming could be utilized at community gardens or at special events.</w:t>
      </w:r>
    </w:p>
    <w:p w:rsidR="00E90D21" w:rsidRDefault="00E90D21" w:rsidP="00E90D21"/>
    <w:p w:rsidR="00E90D21" w:rsidRDefault="00E90D21" w:rsidP="00E90D21">
      <w:pPr>
        <w:pStyle w:val="NormalWeb"/>
        <w:spacing w:before="0" w:beforeAutospacing="0" w:after="0" w:afterAutospacing="0"/>
      </w:pPr>
      <w:r>
        <w:rPr>
          <w:color w:val="000000"/>
        </w:rPr>
        <w:t xml:space="preserve">Two proposals for supporting small business included a Flint city fair and small business Saturdays.  The Flint city fair would function like the Genesee County Fair, except the focus would be on urban </w:t>
      </w:r>
      <w:proofErr w:type="gramStart"/>
      <w:r>
        <w:rPr>
          <w:color w:val="000000"/>
        </w:rPr>
        <w:t>ag</w:t>
      </w:r>
      <w:proofErr w:type="gramEnd"/>
      <w:r>
        <w:rPr>
          <w:color w:val="000000"/>
        </w:rPr>
        <w:t xml:space="preserve"> and other food-based activities within the city.  Job fairs could be held concurrently with this event.  Small business Saturdays would replicate what other local businesses do with an emphasis on local food.</w:t>
      </w:r>
    </w:p>
    <w:p w:rsidR="00E90D21" w:rsidRDefault="00E90D21" w:rsidP="00E90D21"/>
    <w:p w:rsidR="00E90D21" w:rsidRDefault="00E90D21" w:rsidP="00E90D21">
      <w:pPr>
        <w:pStyle w:val="NormalWeb"/>
        <w:spacing w:before="0" w:beforeAutospacing="0" w:after="0" w:afterAutospacing="0"/>
      </w:pPr>
      <w:r>
        <w:rPr>
          <w:color w:val="000000"/>
        </w:rPr>
        <w:t>Food trucks were presented as an idea that incorporates access, attitudes, and business development into one proposal.  Similar to the way the satellite markets functioned, food trucks could locate in neighborhoods with poor access to healthy foods, but they would be more mobile and thus could serve many areas.  Partnerships could be pursued with churches or community centers to provide safe spaces, and existing training initiatives like Mott’s culinary program and the Flint Food Works could provide on board chefs to conduct healthy cooking demonstrations.  Such trucks could also be flexible in format, with either delivery or on-site sales and in terms of the products/services offered on the truck.</w:t>
      </w:r>
    </w:p>
    <w:p w:rsidR="00E90D21" w:rsidRDefault="00E90D21" w:rsidP="00E90D21"/>
    <w:p w:rsidR="00E90D21" w:rsidRDefault="00E90D21" w:rsidP="00E90D21">
      <w:pPr>
        <w:pStyle w:val="Heading2"/>
      </w:pPr>
      <w:r>
        <w:rPr>
          <w:i w:val="0"/>
          <w:iCs/>
          <w:color w:val="000000"/>
          <w:szCs w:val="24"/>
          <w:shd w:val="clear" w:color="auto" w:fill="FFFF00"/>
        </w:rPr>
        <w:t>Available Assets</w:t>
      </w:r>
    </w:p>
    <w:p w:rsidR="00E90D21" w:rsidRDefault="00E90D21" w:rsidP="00E90D21">
      <w:pPr>
        <w:pStyle w:val="NormalWeb"/>
        <w:spacing w:before="0" w:beforeAutospacing="0" w:after="0" w:afterAutospacing="0"/>
      </w:pPr>
      <w:r>
        <w:rPr>
          <w:color w:val="000000"/>
        </w:rPr>
        <w:t xml:space="preserve">Land was seen as a key asset because of its abundance in the Flint area.  An important lynchpin in making this asset available is continued dialogue with the Land Bank, as they are the purveyor </w:t>
      </w:r>
      <w:r>
        <w:rPr>
          <w:color w:val="000000"/>
        </w:rPr>
        <w:lastRenderedPageBreak/>
        <w:t>of much of the vacant/available land.  This asset is seen as a way to attract people to the city, since the cost of obtaining land is very low and the opportunity for growing food is high.</w:t>
      </w:r>
    </w:p>
    <w:p w:rsidR="00E90D21" w:rsidRDefault="00E90D21" w:rsidP="00E90D21"/>
    <w:p w:rsidR="00E90D21" w:rsidRDefault="00E90D21" w:rsidP="00E90D21">
      <w:pPr>
        <w:pStyle w:val="NormalWeb"/>
        <w:spacing w:before="0" w:beforeAutospacing="0" w:after="0" w:afterAutospacing="0"/>
      </w:pPr>
      <w:r>
        <w:rPr>
          <w:color w:val="000000"/>
        </w:rPr>
        <w:t>In spite of a decline in overall population, people are still seen as an important asset.  The Flint community has a solid core of experienced local/urban farmers/gardeners with a range of skillsets.  And although gardening is hard work, people take notice when such positive developments happen in their neighborhood.  Thus a positive feedback loop could be started from engaging more people in gardening.  The presence of colleges and universities with large pools of potential volunteer labor could be a boon for organizations needing help.  Organizations with service-minded or community-oriented mentalities (like churches, block clubs, and service organizations) are all potential destinations for human resources.</w:t>
      </w:r>
    </w:p>
    <w:p w:rsidR="00E90D21" w:rsidRDefault="00E90D21" w:rsidP="00E90D21"/>
    <w:p w:rsidR="00E90D21" w:rsidRDefault="00E90D21" w:rsidP="00E90D21">
      <w:pPr>
        <w:pStyle w:val="NormalWeb"/>
        <w:spacing w:before="0" w:beforeAutospacing="0" w:after="0" w:afterAutospacing="0"/>
      </w:pPr>
      <w:r>
        <w:rPr>
          <w:color w:val="000000"/>
        </w:rPr>
        <w:t xml:space="preserve">Some of the people/organizations mentioned as assets include (but are not limited to): urban farmers like Mr. Rogers, Harvesting Earth, Flint River Farm, and Crop Mob; food distribution sites like St. Luke’s, Christ Enrichment Center, and soup kitchens; the Flint Farmers’ Market and Flint Food Works; the Mott Culinary Program; Kettering and its </w:t>
      </w:r>
      <w:proofErr w:type="spellStart"/>
      <w:r>
        <w:rPr>
          <w:color w:val="000000"/>
        </w:rPr>
        <w:t>aquaponics</w:t>
      </w:r>
      <w:proofErr w:type="spellEnd"/>
      <w:r>
        <w:rPr>
          <w:color w:val="000000"/>
        </w:rPr>
        <w:t xml:space="preserve"> expertise; the new community education initiative and other organizations like </w:t>
      </w:r>
      <w:proofErr w:type="spellStart"/>
      <w:r>
        <w:rPr>
          <w:color w:val="000000"/>
        </w:rPr>
        <w:t>YouthQuest</w:t>
      </w:r>
      <w:proofErr w:type="spellEnd"/>
      <w:r>
        <w:rPr>
          <w:color w:val="000000"/>
        </w:rPr>
        <w:t xml:space="preserve">; and </w:t>
      </w:r>
      <w:proofErr w:type="spellStart"/>
      <w:r>
        <w:rPr>
          <w:color w:val="000000"/>
        </w:rPr>
        <w:t>FoodCorps</w:t>
      </w:r>
      <w:proofErr w:type="spellEnd"/>
      <w:r>
        <w:rPr>
          <w:color w:val="000000"/>
        </w:rPr>
        <w:t>.</w:t>
      </w:r>
    </w:p>
    <w:p w:rsidR="00E90D21" w:rsidRDefault="00E90D21" w:rsidP="00E90D21"/>
    <w:p w:rsidR="00E90D21" w:rsidRDefault="00E90D21" w:rsidP="00E90D21">
      <w:pPr>
        <w:pStyle w:val="Heading2"/>
      </w:pPr>
      <w:r>
        <w:rPr>
          <w:i w:val="0"/>
          <w:iCs/>
          <w:color w:val="000000"/>
          <w:szCs w:val="24"/>
          <w:shd w:val="clear" w:color="auto" w:fill="FFFF00"/>
        </w:rPr>
        <w:t>Needed Resources</w:t>
      </w:r>
    </w:p>
    <w:p w:rsidR="00E90D21" w:rsidRDefault="00E90D21" w:rsidP="00E90D21">
      <w:pPr>
        <w:pStyle w:val="NormalWeb"/>
        <w:spacing w:before="0" w:beforeAutospacing="0" w:after="0" w:afterAutospacing="0"/>
      </w:pPr>
      <w:r>
        <w:rPr>
          <w:color w:val="000000"/>
        </w:rPr>
        <w:t>Flint’s greatest assets also remain the areas where more resources are needed.  Many organizations lack the sheer number of people required to pursue new or scale up existing initiatives.  Residents are already so civically active that it can be hard to add another commitment.  Others felt that many people have a natural propensity to be lazy, so engaging parts of the population may remain difficult.</w:t>
      </w:r>
    </w:p>
    <w:p w:rsidR="00E90D21" w:rsidRDefault="00E90D21" w:rsidP="00E90D21"/>
    <w:p w:rsidR="00E90D21" w:rsidRDefault="00E90D21" w:rsidP="00E90D21">
      <w:pPr>
        <w:pStyle w:val="NormalWeb"/>
        <w:spacing w:before="0" w:beforeAutospacing="0" w:after="0" w:afterAutospacing="0"/>
      </w:pPr>
      <w:r>
        <w:rPr>
          <w:color w:val="000000"/>
        </w:rPr>
        <w:t>As well, gaining access to safe and suitable land and water is a continued need.  Especially with the recent issues around cost and, more importantly, safety, access to water remains a major limiting factor in what people can do with their gardens.  Proposals to streamline the property acquisition process may make it easier to encourage new gardens.</w:t>
      </w:r>
    </w:p>
    <w:p w:rsidR="00E90D21" w:rsidRDefault="00E90D21" w:rsidP="00E90D21"/>
    <w:p w:rsidR="00E90D21" w:rsidRDefault="00E90D21" w:rsidP="00E90D21">
      <w:pPr>
        <w:pStyle w:val="NormalWeb"/>
        <w:spacing w:before="0" w:beforeAutospacing="0" w:after="0" w:afterAutospacing="0"/>
      </w:pPr>
      <w:r>
        <w:rPr>
          <w:color w:val="000000"/>
        </w:rPr>
        <w:t xml:space="preserve">An overarching need was to harness expertise on connecting organizations.  Many different groups in the community pursue similar initiatives, but it can be difficult to effectively connect and/or collaborate.  The wariness of institutions/government/researchers (as mentioned above) also factors in the concerns about connecting, especially since some institutions in the past have come in without community buy-in.  The issue remains having champions who work </w:t>
      </w:r>
      <w:r>
        <w:rPr>
          <w:i/>
          <w:iCs/>
          <w:color w:val="000000"/>
        </w:rPr>
        <w:t>in</w:t>
      </w:r>
      <w:r>
        <w:rPr>
          <w:color w:val="000000"/>
        </w:rPr>
        <w:t xml:space="preserve"> and </w:t>
      </w:r>
      <w:r>
        <w:rPr>
          <w:i/>
          <w:iCs/>
          <w:color w:val="000000"/>
        </w:rPr>
        <w:t>with</w:t>
      </w:r>
      <w:r>
        <w:rPr>
          <w:color w:val="000000"/>
        </w:rPr>
        <w:t xml:space="preserve">, not </w:t>
      </w:r>
      <w:r>
        <w:rPr>
          <w:i/>
          <w:iCs/>
          <w:color w:val="000000"/>
        </w:rPr>
        <w:t>through</w:t>
      </w:r>
      <w:r>
        <w:rPr>
          <w:color w:val="000000"/>
        </w:rPr>
        <w:t xml:space="preserve"> or </w:t>
      </w:r>
      <w:r>
        <w:rPr>
          <w:i/>
          <w:iCs/>
          <w:color w:val="000000"/>
        </w:rPr>
        <w:t>in spite of</w:t>
      </w:r>
      <w:r>
        <w:rPr>
          <w:color w:val="000000"/>
        </w:rPr>
        <w:t xml:space="preserve"> the community.</w:t>
      </w:r>
    </w:p>
    <w:p w:rsidR="00E90D21" w:rsidRDefault="00E90D21" w:rsidP="00E90D21"/>
    <w:p w:rsidR="00E90D21" w:rsidRDefault="00E90D21" w:rsidP="00E90D21">
      <w:pPr>
        <w:pStyle w:val="Heading1"/>
      </w:pPr>
      <w:r>
        <w:rPr>
          <w:color w:val="000000"/>
          <w:szCs w:val="28"/>
          <w:shd w:val="clear" w:color="auto" w:fill="00FF00"/>
        </w:rPr>
        <w:t>Future</w:t>
      </w:r>
    </w:p>
    <w:p w:rsidR="00E90D21" w:rsidRDefault="00E90D21" w:rsidP="00C3300B">
      <w:pPr>
        <w:pStyle w:val="NormalWeb"/>
        <w:numPr>
          <w:ilvl w:val="0"/>
          <w:numId w:val="30"/>
        </w:numPr>
        <w:spacing w:before="0" w:beforeAutospacing="0" w:after="0" w:afterAutospacing="0"/>
        <w:textAlignment w:val="baseline"/>
        <w:rPr>
          <w:color w:val="000000"/>
        </w:rPr>
      </w:pPr>
      <w:r>
        <w:rPr>
          <w:color w:val="000000"/>
        </w:rPr>
        <w:t xml:space="preserve">How can edible flint play a </w:t>
      </w:r>
      <w:r>
        <w:rPr>
          <w:b/>
          <w:bCs/>
          <w:color w:val="000000"/>
        </w:rPr>
        <w:t>role</w:t>
      </w:r>
      <w:r>
        <w:rPr>
          <w:color w:val="000000"/>
        </w:rPr>
        <w:t xml:space="preserve"> in addressing local food-related issues in the future?</w:t>
      </w:r>
    </w:p>
    <w:p w:rsidR="00E90D21" w:rsidRDefault="00E90D21" w:rsidP="00C3300B">
      <w:pPr>
        <w:pStyle w:val="NormalWeb"/>
        <w:numPr>
          <w:ilvl w:val="0"/>
          <w:numId w:val="30"/>
        </w:numPr>
        <w:spacing w:before="0" w:beforeAutospacing="0" w:after="0" w:afterAutospacing="0"/>
        <w:textAlignment w:val="baseline"/>
        <w:rPr>
          <w:color w:val="000000"/>
        </w:rPr>
      </w:pPr>
      <w:r>
        <w:rPr>
          <w:color w:val="000000"/>
        </w:rPr>
        <w:t xml:space="preserve">If edible flint was going to grow any of its </w:t>
      </w:r>
      <w:r>
        <w:rPr>
          <w:b/>
          <w:bCs/>
          <w:color w:val="000000"/>
        </w:rPr>
        <w:t>programming</w:t>
      </w:r>
      <w:r>
        <w:rPr>
          <w:color w:val="000000"/>
        </w:rPr>
        <w:t>, what do you think would be necessary for it to be successful?</w:t>
      </w:r>
    </w:p>
    <w:p w:rsidR="00E90D21" w:rsidRDefault="00E90D21" w:rsidP="00C3300B">
      <w:pPr>
        <w:pStyle w:val="NormalWeb"/>
        <w:numPr>
          <w:ilvl w:val="1"/>
          <w:numId w:val="30"/>
        </w:numPr>
        <w:spacing w:before="0" w:beforeAutospacing="0" w:after="0" w:afterAutospacing="0"/>
        <w:textAlignment w:val="baseline"/>
        <w:rPr>
          <w:color w:val="000000"/>
        </w:rPr>
      </w:pPr>
      <w:r>
        <w:rPr>
          <w:color w:val="000000"/>
        </w:rPr>
        <w:t>What activities should edible flint expand upon?</w:t>
      </w:r>
    </w:p>
    <w:p w:rsidR="00E90D21" w:rsidRDefault="00E90D21" w:rsidP="00C3300B">
      <w:pPr>
        <w:pStyle w:val="NormalWeb"/>
        <w:numPr>
          <w:ilvl w:val="0"/>
          <w:numId w:val="30"/>
        </w:numPr>
        <w:spacing w:before="0" w:beforeAutospacing="0" w:after="0" w:afterAutospacing="0"/>
        <w:textAlignment w:val="baseline"/>
        <w:rPr>
          <w:color w:val="000000"/>
        </w:rPr>
      </w:pPr>
      <w:r>
        <w:rPr>
          <w:color w:val="000000"/>
        </w:rPr>
        <w:t xml:space="preserve">Do you think the local food sector presents opportunities for </w:t>
      </w:r>
      <w:r>
        <w:rPr>
          <w:b/>
          <w:bCs/>
          <w:color w:val="000000"/>
        </w:rPr>
        <w:t>employment</w:t>
      </w:r>
      <w:r>
        <w:rPr>
          <w:color w:val="000000"/>
        </w:rPr>
        <w:t>?</w:t>
      </w:r>
    </w:p>
    <w:p w:rsidR="00E90D21" w:rsidRDefault="00E90D21" w:rsidP="00C3300B">
      <w:pPr>
        <w:pStyle w:val="NormalWeb"/>
        <w:numPr>
          <w:ilvl w:val="1"/>
          <w:numId w:val="30"/>
        </w:numPr>
        <w:spacing w:before="0" w:beforeAutospacing="0" w:after="0" w:afterAutospacing="0"/>
        <w:textAlignment w:val="baseline"/>
        <w:rPr>
          <w:color w:val="000000"/>
        </w:rPr>
      </w:pPr>
      <w:r>
        <w:rPr>
          <w:color w:val="000000"/>
        </w:rPr>
        <w:t>If yes: why?</w:t>
      </w:r>
    </w:p>
    <w:p w:rsidR="00E90D21" w:rsidRDefault="00E90D21" w:rsidP="00C3300B">
      <w:pPr>
        <w:pStyle w:val="NormalWeb"/>
        <w:numPr>
          <w:ilvl w:val="1"/>
          <w:numId w:val="30"/>
        </w:numPr>
        <w:spacing w:before="0" w:beforeAutospacing="0" w:after="0" w:afterAutospacing="0"/>
        <w:textAlignment w:val="baseline"/>
        <w:rPr>
          <w:color w:val="000000"/>
        </w:rPr>
      </w:pPr>
      <w:r>
        <w:rPr>
          <w:color w:val="000000"/>
        </w:rPr>
        <w:t xml:space="preserve">If no: What other sector would be better for us to put effort into? What possibilities do you see in your </w:t>
      </w:r>
      <w:bookmarkStart w:id="0" w:name="_GoBack"/>
      <w:bookmarkEnd w:id="0"/>
      <w:r>
        <w:rPr>
          <w:color w:val="000000"/>
        </w:rPr>
        <w:t>neighborhood?</w:t>
      </w:r>
    </w:p>
    <w:p w:rsidR="00E90D21" w:rsidRDefault="00E90D21" w:rsidP="00E90D21"/>
    <w:p w:rsidR="00E90D21" w:rsidRDefault="00E90D21" w:rsidP="00E90D21">
      <w:pPr>
        <w:pStyle w:val="Heading2"/>
      </w:pPr>
      <w:r>
        <w:rPr>
          <w:i w:val="0"/>
          <w:iCs/>
          <w:color w:val="000000"/>
          <w:szCs w:val="24"/>
          <w:shd w:val="clear" w:color="auto" w:fill="FFFF00"/>
        </w:rPr>
        <w:t>Edible Flint’s Role</w:t>
      </w:r>
    </w:p>
    <w:p w:rsidR="00E90D21" w:rsidRDefault="00E90D21" w:rsidP="00E90D21">
      <w:pPr>
        <w:pStyle w:val="NormalWeb"/>
        <w:spacing w:before="0" w:beforeAutospacing="0" w:after="0" w:afterAutospacing="0"/>
      </w:pPr>
      <w:r>
        <w:rPr>
          <w:color w:val="000000"/>
        </w:rPr>
        <w:t>Above all, edible flint’s role in the future of local food was identified as being the center of the local food movement.  The roles within this designation included resource hub, advocate, and marketer.</w:t>
      </w:r>
    </w:p>
    <w:p w:rsidR="00E90D21" w:rsidRDefault="00E90D21" w:rsidP="00E90D21"/>
    <w:p w:rsidR="00E90D21" w:rsidRDefault="00E90D21" w:rsidP="00E90D21">
      <w:pPr>
        <w:pStyle w:val="NormalWeb"/>
        <w:spacing w:before="0" w:beforeAutospacing="0" w:after="0" w:afterAutospacing="0"/>
      </w:pPr>
      <w:r>
        <w:rPr>
          <w:color w:val="000000"/>
        </w:rPr>
        <w:t>As a resource hub, edible flint would be the key point of contact for pieces including communication, marketing/promotion, education, business development, programming, gardening information, and getting land.  Creating a resource guidebook and local food inventory would be natural steps toward this position.  The goal would be to eliminate duplication, which relates to the following point.</w:t>
      </w:r>
    </w:p>
    <w:p w:rsidR="00E90D21" w:rsidRDefault="00E90D21" w:rsidP="00E90D21"/>
    <w:p w:rsidR="00E90D21" w:rsidRDefault="00E90D21" w:rsidP="00E90D21">
      <w:pPr>
        <w:pStyle w:val="NormalWeb"/>
        <w:spacing w:before="0" w:beforeAutospacing="0" w:after="0" w:afterAutospacing="0"/>
      </w:pPr>
      <w:r>
        <w:rPr>
          <w:color w:val="000000"/>
        </w:rPr>
        <w:t>Where edible flint may not lead in some areas, it would be an advocate for other organizations (like food assistance programs, soup kitchens, and farmers’ markets).  It would also coordinate petitions, lead policy advocacy to strengthen the local food economy, and support and encourage people wishing to buy land for urban agriculture in the city and surrounding area.</w:t>
      </w:r>
    </w:p>
    <w:p w:rsidR="00E90D21" w:rsidRDefault="00E90D21" w:rsidP="00E90D21"/>
    <w:p w:rsidR="00E90D21" w:rsidRDefault="00E90D21" w:rsidP="00E90D21">
      <w:pPr>
        <w:pStyle w:val="NormalWeb"/>
        <w:spacing w:before="0" w:beforeAutospacing="0" w:after="0" w:afterAutospacing="0"/>
      </w:pPr>
      <w:r>
        <w:rPr>
          <w:color w:val="000000"/>
        </w:rPr>
        <w:t xml:space="preserve">Much of the marketing piece revolves around getting edible flint’s name out in the community so people know about it.  Activities would include being present at/on block clubs, community events, public access TV, radio, </w:t>
      </w:r>
      <w:proofErr w:type="gramStart"/>
      <w:r>
        <w:rPr>
          <w:color w:val="000000"/>
        </w:rPr>
        <w:t>podcasts</w:t>
      </w:r>
      <w:proofErr w:type="gramEnd"/>
      <w:r>
        <w:rPr>
          <w:color w:val="000000"/>
        </w:rPr>
        <w:t>.  Regular media exposure and building an edible flint brand would be required components.</w:t>
      </w:r>
    </w:p>
    <w:p w:rsidR="00E90D21" w:rsidRDefault="00E90D21" w:rsidP="00E90D21"/>
    <w:p w:rsidR="00E90D21" w:rsidRDefault="00E90D21" w:rsidP="00E90D21">
      <w:pPr>
        <w:pStyle w:val="NormalWeb"/>
        <w:spacing w:before="0" w:beforeAutospacing="0" w:after="0" w:afterAutospacing="0"/>
      </w:pPr>
      <w:r>
        <w:rPr>
          <w:color w:val="000000"/>
        </w:rPr>
        <w:t>Within the organization, edible flint should increase partnerships (as above in advocacy) and take the lead where other organizations have lost energy.  Becoming more strategic about volunteers and creating volunteer training and mentorship programs are considered ideas to help make edible flint more sustainable.  Reshaping the structure of the meetings or workgroups might encourage more casual participation.  Reshaping might also encourage more responsive changes within workgroups to capitalize on where the most energy lies.  Finally, one of the enduring challenges has been having an individual who can dedicate all of their time to the mission of edible flint.  Converting to a directorship might be beneficial if the person hired to run edible flint works at the will of the leadership board.</w:t>
      </w:r>
    </w:p>
    <w:p w:rsidR="00E90D21" w:rsidRDefault="00E90D21" w:rsidP="00E90D21"/>
    <w:p w:rsidR="00E90D21" w:rsidRDefault="00E90D21" w:rsidP="00E90D21">
      <w:pPr>
        <w:pStyle w:val="NormalWeb"/>
        <w:spacing w:before="0" w:beforeAutospacing="0" w:after="0" w:afterAutospacing="0"/>
      </w:pPr>
      <w:r>
        <w:rPr>
          <w:color w:val="000000"/>
        </w:rPr>
        <w:t>Edible flint’s role in the community continues to be seen as one of connector.  The organization can use gardening to build a sense of place, encourage home ownership, and promote self-sustainability while promoting connections between people.  Many in the community do not have enough, while many more have more than enough.  Given the diverse constituency of edible flint, the organization could also link community wealth with community needs.  </w:t>
      </w:r>
    </w:p>
    <w:p w:rsidR="00E90D21" w:rsidRDefault="00E90D21" w:rsidP="00E90D21"/>
    <w:p w:rsidR="00E90D21" w:rsidRDefault="00E90D21" w:rsidP="00E90D21">
      <w:pPr>
        <w:pStyle w:val="Heading2"/>
      </w:pPr>
      <w:r>
        <w:rPr>
          <w:i w:val="0"/>
          <w:iCs/>
          <w:color w:val="000000"/>
          <w:szCs w:val="24"/>
          <w:shd w:val="clear" w:color="auto" w:fill="FFFF00"/>
        </w:rPr>
        <w:t>Programming</w:t>
      </w:r>
    </w:p>
    <w:p w:rsidR="00E90D21" w:rsidRDefault="00E90D21" w:rsidP="00E90D21">
      <w:pPr>
        <w:pStyle w:val="NormalWeb"/>
        <w:spacing w:before="0" w:beforeAutospacing="0" w:after="0" w:afterAutospacing="0"/>
      </w:pPr>
      <w:r>
        <w:rPr>
          <w:color w:val="000000"/>
        </w:rPr>
        <w:t xml:space="preserve">Outside of edible flint’s role in the local food system, many more general programmatic ideas were proposed.  Building the base of food education would have the added benefit of strengthening knowledge about the benefits of local food.  Changing attitudes was important, including around seasonality, ‘ugly’ or ‘dirty’ food, and food preparation.  Local food-specific education could help people see that local food has physical as well as mental health benefits.  Furthermore, educating people on local food products that can be purchased with food </w:t>
      </w:r>
      <w:r>
        <w:rPr>
          <w:color w:val="000000"/>
        </w:rPr>
        <w:lastRenderedPageBreak/>
        <w:t>assistance could help people who might believe local food to be too expensive to see the options available.</w:t>
      </w:r>
    </w:p>
    <w:p w:rsidR="00E90D21" w:rsidRDefault="00E90D21" w:rsidP="00E90D21"/>
    <w:p w:rsidR="00E90D21" w:rsidRDefault="00E90D21" w:rsidP="00E90D21">
      <w:pPr>
        <w:pStyle w:val="NormalWeb"/>
        <w:spacing w:before="0" w:beforeAutospacing="0" w:after="0" w:afterAutospacing="0"/>
      </w:pPr>
      <w:proofErr w:type="spellStart"/>
      <w:r>
        <w:rPr>
          <w:color w:val="000000"/>
        </w:rPr>
        <w:t>Hoophouses</w:t>
      </w:r>
      <w:proofErr w:type="spellEnd"/>
      <w:r>
        <w:rPr>
          <w:color w:val="000000"/>
        </w:rPr>
        <w:t xml:space="preserve"> and greenhouses have seen considerable attention, and building on this could be an easy way to increase local food production.  Some have been able to leverage resources to build their own, but connecting resources will be necessary to get more of these built.</w:t>
      </w:r>
    </w:p>
    <w:p w:rsidR="00E90D21" w:rsidRDefault="00E90D21" w:rsidP="00E90D21"/>
    <w:p w:rsidR="00E90D21" w:rsidRDefault="00E90D21" w:rsidP="00E90D21">
      <w:pPr>
        <w:pStyle w:val="NormalWeb"/>
        <w:spacing w:before="0" w:beforeAutospacing="0" w:after="0" w:afterAutospacing="0"/>
      </w:pPr>
      <w:r>
        <w:rPr>
          <w:color w:val="000000"/>
        </w:rPr>
        <w:t>A ‘buy local’ campaign is one idea that could be pursued at all levels of the local economy and benefit a range of partners.  Activities around this could include partnerships with farmers’ markets, creating a Flint-Genesee ‘brand’, creating a local food map, and a youth healthy eating incentive program.  Web and app-based technology has been used elsewhere to promote local food, and the Local Food Promotion Program is a natural destination for a grant application.</w:t>
      </w:r>
    </w:p>
    <w:p w:rsidR="00E90D21" w:rsidRDefault="00E90D21" w:rsidP="00E90D21"/>
    <w:p w:rsidR="00E90D21" w:rsidRDefault="00E90D21" w:rsidP="00E90D21">
      <w:pPr>
        <w:pStyle w:val="NormalWeb"/>
        <w:spacing w:before="0" w:beforeAutospacing="0" w:after="0" w:afterAutospacing="0"/>
      </w:pPr>
      <w:r>
        <w:rPr>
          <w:color w:val="000000"/>
        </w:rPr>
        <w:t>Regarding existing programs, more can be done to market these to a wider range of people.  This could include video recordings, more flexible scheduling, and keeping a web archive of all classes.  Edible flint could be involved by tracking their garden starters participants and garden kit purchasers to see retention of skills and direct future programming.  Expanding programming to more schools and parks could help grow the reach of existing programs.  Extending services to other at-risk communities outside Flint (like Mt. Morris Township) might also help bring more people into edible flint programming.</w:t>
      </w:r>
    </w:p>
    <w:p w:rsidR="00E90D21" w:rsidRDefault="00E90D21" w:rsidP="00E90D21"/>
    <w:p w:rsidR="00E90D21" w:rsidRDefault="00E90D21" w:rsidP="00E90D21">
      <w:pPr>
        <w:pStyle w:val="NormalWeb"/>
        <w:spacing w:before="0" w:beforeAutospacing="0" w:after="0" w:afterAutospacing="0"/>
      </w:pPr>
      <w:r>
        <w:rPr>
          <w:color w:val="000000"/>
        </w:rPr>
        <w:t>Two major ideas were proposed that would likely fall outside the capacity of edible flint, including a local food smartphone app and a food truck/mobile market.  The smartphone app could serve as a major connector around resources, advocacy, marketing, and educational goals, with the idea of converting people to healthier diets.  The food truck idea is rooted in the idea of bringing healthy food to underserved areas (as mentioned above).  The smartphone app could also use tracking technology to connect with the food truck.</w:t>
      </w:r>
      <w:r>
        <w:rPr>
          <w:rStyle w:val="apple-tab-span"/>
          <w:color w:val="000000"/>
        </w:rPr>
        <w:tab/>
      </w:r>
    </w:p>
    <w:p w:rsidR="00E90D21" w:rsidRDefault="00E90D21" w:rsidP="00E90D21"/>
    <w:p w:rsidR="00E90D21" w:rsidRDefault="00E90D21" w:rsidP="00E90D21">
      <w:pPr>
        <w:pStyle w:val="Heading2"/>
      </w:pPr>
      <w:r>
        <w:rPr>
          <w:i w:val="0"/>
          <w:iCs/>
          <w:color w:val="000000"/>
          <w:szCs w:val="24"/>
          <w:shd w:val="clear" w:color="auto" w:fill="FFFF00"/>
        </w:rPr>
        <w:t>Opportunities for Employment</w:t>
      </w:r>
    </w:p>
    <w:p w:rsidR="00E90D21" w:rsidRDefault="00E90D21" w:rsidP="00E90D21">
      <w:pPr>
        <w:pStyle w:val="NormalWeb"/>
        <w:spacing w:before="0" w:beforeAutospacing="0" w:after="0" w:afterAutospacing="0"/>
      </w:pPr>
      <w:r>
        <w:rPr>
          <w:color w:val="000000"/>
        </w:rPr>
        <w:t xml:space="preserve">A few innovative ideas arose regarding opportunities for employment.  Food production is considered a big challenge because of the narrow profit margins experienced in selling food.  A perception remains that while gardening certainly may yield enough to feed a family, doing it as a business proposition requires a lot of investment and expertise (which may become more feasible over time with experienced urban farmers and university programs such as Kettering’s </w:t>
      </w:r>
      <w:proofErr w:type="spellStart"/>
      <w:r>
        <w:rPr>
          <w:color w:val="000000"/>
        </w:rPr>
        <w:t>aquaponics</w:t>
      </w:r>
      <w:proofErr w:type="spellEnd"/>
      <w:r>
        <w:rPr>
          <w:color w:val="000000"/>
        </w:rPr>
        <w:t xml:space="preserve"> idea).  </w:t>
      </w:r>
    </w:p>
    <w:p w:rsidR="00E90D21" w:rsidRDefault="00E90D21" w:rsidP="00E90D21"/>
    <w:p w:rsidR="00E90D21" w:rsidRDefault="00E90D21" w:rsidP="00E90D21">
      <w:pPr>
        <w:pStyle w:val="NormalWeb"/>
        <w:spacing w:before="0" w:beforeAutospacing="0" w:after="0" w:afterAutospacing="0"/>
      </w:pPr>
      <w:r>
        <w:rPr>
          <w:color w:val="000000"/>
        </w:rPr>
        <w:t xml:space="preserve">For many, value-added propositions or providing technical support for urban </w:t>
      </w:r>
      <w:proofErr w:type="gramStart"/>
      <w:r>
        <w:rPr>
          <w:color w:val="000000"/>
        </w:rPr>
        <w:t>ag</w:t>
      </w:r>
      <w:proofErr w:type="gramEnd"/>
      <w:r>
        <w:rPr>
          <w:color w:val="000000"/>
        </w:rPr>
        <w:t xml:space="preserve"> initiatives are considered more likely to yield a livable wage.  Such activities include composting, tilling, processing, and preparing gardens and food products.  Others felt that capitalizing on people’s laziness by offering to gardening services or picking up compost may be an opportunity to make money in the local food system.</w:t>
      </w:r>
    </w:p>
    <w:p w:rsidR="00E90D21" w:rsidRDefault="00E90D21" w:rsidP="00E90D21">
      <w:r>
        <w:br/>
      </w:r>
      <w:r>
        <w:rPr>
          <w:color w:val="000000"/>
        </w:rPr>
        <w:t xml:space="preserve">One opportunity for growing food that saw more support in terms of perceived financial viability came in growing foods that could be sold directly to a niche market or local food restaurant.  Such an endeavor could take the form of a co-op as mentioned above, where individuals grow a large quantity of one crop and sell </w:t>
      </w:r>
      <w:proofErr w:type="spellStart"/>
      <w:r>
        <w:rPr>
          <w:color w:val="000000"/>
        </w:rPr>
        <w:t>en</w:t>
      </w:r>
      <w:proofErr w:type="spellEnd"/>
      <w:r>
        <w:rPr>
          <w:color w:val="000000"/>
        </w:rPr>
        <w:t xml:space="preserve"> masse to a large institutional buyer.</w:t>
      </w:r>
    </w:p>
    <w:sectPr w:rsidR="00E90D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7991"/>
    <w:multiLevelType w:val="multilevel"/>
    <w:tmpl w:val="220A30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81BD4"/>
    <w:multiLevelType w:val="multilevel"/>
    <w:tmpl w:val="A5AE7A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100D4A"/>
    <w:multiLevelType w:val="multilevel"/>
    <w:tmpl w:val="18F27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493556"/>
    <w:multiLevelType w:val="multilevel"/>
    <w:tmpl w:val="CE10CD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346DD7"/>
    <w:multiLevelType w:val="hybridMultilevel"/>
    <w:tmpl w:val="2E2A8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3A4DB4"/>
    <w:multiLevelType w:val="hybridMultilevel"/>
    <w:tmpl w:val="5E487D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D2DC7"/>
    <w:multiLevelType w:val="multilevel"/>
    <w:tmpl w:val="CF6864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2636F5"/>
    <w:multiLevelType w:val="hybridMultilevel"/>
    <w:tmpl w:val="9048C02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814076"/>
    <w:multiLevelType w:val="multilevel"/>
    <w:tmpl w:val="815E79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203E0C"/>
    <w:multiLevelType w:val="hybridMultilevel"/>
    <w:tmpl w:val="0ED084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CE3E71"/>
    <w:multiLevelType w:val="multilevel"/>
    <w:tmpl w:val="63285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30564C"/>
    <w:multiLevelType w:val="multilevel"/>
    <w:tmpl w:val="C39001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472D65"/>
    <w:multiLevelType w:val="hybridMultilevel"/>
    <w:tmpl w:val="8EE449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2C1C18"/>
    <w:multiLevelType w:val="hybridMultilevel"/>
    <w:tmpl w:val="DBDE8F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BC0DCB"/>
    <w:multiLevelType w:val="multilevel"/>
    <w:tmpl w:val="A9E677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13"/>
  </w:num>
  <w:num w:numId="4">
    <w:abstractNumId w:val="6"/>
  </w:num>
  <w:num w:numId="5">
    <w:abstractNumId w:val="6"/>
    <w:lvlOverride w:ilvl="1">
      <w:lvl w:ilvl="1">
        <w:numFmt w:val="lowerLetter"/>
        <w:lvlText w:val="%2."/>
        <w:lvlJc w:val="left"/>
      </w:lvl>
    </w:lvlOverride>
  </w:num>
  <w:num w:numId="6">
    <w:abstractNumId w:val="6"/>
    <w:lvlOverride w:ilvl="1">
      <w:lvl w:ilvl="1">
        <w:numFmt w:val="lowerLetter"/>
        <w:lvlText w:val="%2."/>
        <w:lvlJc w:val="left"/>
      </w:lvl>
    </w:lvlOverride>
  </w:num>
  <w:num w:numId="7">
    <w:abstractNumId w:val="14"/>
  </w:num>
  <w:num w:numId="8">
    <w:abstractNumId w:val="14"/>
    <w:lvlOverride w:ilvl="1">
      <w:lvl w:ilvl="1">
        <w:numFmt w:val="lowerLetter"/>
        <w:lvlText w:val="%2."/>
        <w:lvlJc w:val="left"/>
      </w:lvl>
    </w:lvlOverride>
  </w:num>
  <w:num w:numId="9">
    <w:abstractNumId w:val="8"/>
  </w:num>
  <w:num w:numId="10">
    <w:abstractNumId w:val="8"/>
    <w:lvlOverride w:ilvl="1">
      <w:lvl w:ilvl="1">
        <w:numFmt w:val="lowerLetter"/>
        <w:lvlText w:val="%2."/>
        <w:lvlJc w:val="left"/>
      </w:lvl>
    </w:lvlOverride>
  </w:num>
  <w:num w:numId="11">
    <w:abstractNumId w:val="8"/>
    <w:lvlOverride w:ilvl="1">
      <w:lvl w:ilvl="1">
        <w:numFmt w:val="lowerLetter"/>
        <w:lvlText w:val="%2."/>
        <w:lvlJc w:val="left"/>
      </w:lvl>
    </w:lvlOverride>
  </w:num>
  <w:num w:numId="12">
    <w:abstractNumId w:val="11"/>
  </w:num>
  <w:num w:numId="13">
    <w:abstractNumId w:val="11"/>
    <w:lvlOverride w:ilvl="1">
      <w:lvl w:ilvl="1">
        <w:numFmt w:val="lowerLetter"/>
        <w:lvlText w:val="%2."/>
        <w:lvlJc w:val="left"/>
      </w:lvl>
    </w:lvlOverride>
  </w:num>
  <w:num w:numId="14">
    <w:abstractNumId w:val="11"/>
    <w:lvlOverride w:ilvl="1">
      <w:lvl w:ilvl="1">
        <w:numFmt w:val="lowerLetter"/>
        <w:lvlText w:val="%2."/>
        <w:lvlJc w:val="left"/>
      </w:lvl>
    </w:lvlOverride>
  </w:num>
  <w:num w:numId="15">
    <w:abstractNumId w:val="1"/>
  </w:num>
  <w:num w:numId="16">
    <w:abstractNumId w:val="1"/>
    <w:lvlOverride w:ilvl="1">
      <w:lvl w:ilvl="1">
        <w:numFmt w:val="lowerLetter"/>
        <w:lvlText w:val="%2."/>
        <w:lvlJc w:val="left"/>
      </w:lvl>
    </w:lvlOverride>
  </w:num>
  <w:num w:numId="17">
    <w:abstractNumId w:val="10"/>
  </w:num>
  <w:num w:numId="18">
    <w:abstractNumId w:val="10"/>
    <w:lvlOverride w:ilvl="1">
      <w:lvl w:ilvl="1">
        <w:numFmt w:val="lowerLetter"/>
        <w:lvlText w:val="%2."/>
        <w:lvlJc w:val="left"/>
      </w:lvl>
    </w:lvlOverride>
  </w:num>
  <w:num w:numId="19">
    <w:abstractNumId w:val="10"/>
    <w:lvlOverride w:ilvl="1">
      <w:lvl w:ilvl="1">
        <w:numFmt w:val="lowerLetter"/>
        <w:lvlText w:val="%2."/>
        <w:lvlJc w:val="left"/>
      </w:lvl>
    </w:lvlOverride>
  </w:num>
  <w:num w:numId="20">
    <w:abstractNumId w:val="2"/>
  </w:num>
  <w:num w:numId="21">
    <w:abstractNumId w:val="2"/>
    <w:lvlOverride w:ilvl="1">
      <w:lvl w:ilvl="1">
        <w:numFmt w:val="lowerLetter"/>
        <w:lvlText w:val="%2."/>
        <w:lvlJc w:val="left"/>
      </w:lvl>
    </w:lvlOverride>
  </w:num>
  <w:num w:numId="22">
    <w:abstractNumId w:val="2"/>
    <w:lvlOverride w:ilvl="1">
      <w:lvl w:ilvl="1">
        <w:numFmt w:val="lowerLetter"/>
        <w:lvlText w:val="%2."/>
        <w:lvlJc w:val="left"/>
      </w:lvl>
    </w:lvlOverride>
  </w:num>
  <w:num w:numId="23">
    <w:abstractNumId w:val="3"/>
  </w:num>
  <w:num w:numId="24">
    <w:abstractNumId w:val="3"/>
    <w:lvlOverride w:ilvl="1">
      <w:lvl w:ilvl="1">
        <w:numFmt w:val="lowerLetter"/>
        <w:lvlText w:val="%2."/>
        <w:lvlJc w:val="left"/>
      </w:lvl>
    </w:lvlOverride>
  </w:num>
  <w:num w:numId="25">
    <w:abstractNumId w:val="0"/>
  </w:num>
  <w:num w:numId="26">
    <w:abstractNumId w:val="0"/>
    <w:lvlOverride w:ilvl="1">
      <w:lvl w:ilvl="1">
        <w:numFmt w:val="lowerLetter"/>
        <w:lvlText w:val="%2."/>
        <w:lvlJc w:val="left"/>
      </w:lvl>
    </w:lvlOverride>
  </w:num>
  <w:num w:numId="27">
    <w:abstractNumId w:val="0"/>
    <w:lvlOverride w:ilvl="1">
      <w:lvl w:ilvl="1">
        <w:numFmt w:val="lowerLetter"/>
        <w:lvlText w:val="%2."/>
        <w:lvlJc w:val="left"/>
      </w:lvl>
    </w:lvlOverride>
  </w:num>
  <w:num w:numId="28">
    <w:abstractNumId w:val="12"/>
  </w:num>
  <w:num w:numId="29">
    <w:abstractNumId w:val="9"/>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85E"/>
    <w:rsid w:val="000628A1"/>
    <w:rsid w:val="000812B1"/>
    <w:rsid w:val="00172C4E"/>
    <w:rsid w:val="00266397"/>
    <w:rsid w:val="00287210"/>
    <w:rsid w:val="002A6229"/>
    <w:rsid w:val="00357F5E"/>
    <w:rsid w:val="0038218A"/>
    <w:rsid w:val="003B4285"/>
    <w:rsid w:val="003C34BF"/>
    <w:rsid w:val="00450854"/>
    <w:rsid w:val="004D5B3E"/>
    <w:rsid w:val="004E6AFF"/>
    <w:rsid w:val="00502BAE"/>
    <w:rsid w:val="00543644"/>
    <w:rsid w:val="005723E4"/>
    <w:rsid w:val="005A526F"/>
    <w:rsid w:val="00611E3D"/>
    <w:rsid w:val="00621C58"/>
    <w:rsid w:val="0069213F"/>
    <w:rsid w:val="006A5A96"/>
    <w:rsid w:val="007534D9"/>
    <w:rsid w:val="00790DCC"/>
    <w:rsid w:val="007D10EF"/>
    <w:rsid w:val="007F7F4C"/>
    <w:rsid w:val="00813ECA"/>
    <w:rsid w:val="00863F70"/>
    <w:rsid w:val="0087335E"/>
    <w:rsid w:val="0094391F"/>
    <w:rsid w:val="00945D01"/>
    <w:rsid w:val="00952AAE"/>
    <w:rsid w:val="0095445D"/>
    <w:rsid w:val="009F2154"/>
    <w:rsid w:val="00B2177E"/>
    <w:rsid w:val="00B4628E"/>
    <w:rsid w:val="00B65EDD"/>
    <w:rsid w:val="00BD700E"/>
    <w:rsid w:val="00C01482"/>
    <w:rsid w:val="00C3300B"/>
    <w:rsid w:val="00C4599E"/>
    <w:rsid w:val="00C80CC3"/>
    <w:rsid w:val="00CB427C"/>
    <w:rsid w:val="00D65865"/>
    <w:rsid w:val="00DA2D79"/>
    <w:rsid w:val="00DB07D6"/>
    <w:rsid w:val="00DD36AD"/>
    <w:rsid w:val="00DD625F"/>
    <w:rsid w:val="00DD73AC"/>
    <w:rsid w:val="00E61DA9"/>
    <w:rsid w:val="00E72ABE"/>
    <w:rsid w:val="00E75376"/>
    <w:rsid w:val="00E90D21"/>
    <w:rsid w:val="00E9185E"/>
    <w:rsid w:val="00EB289D"/>
    <w:rsid w:val="00F5702D"/>
    <w:rsid w:val="00FE0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5EF884-1F66-47B7-AA89-4C571A60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397"/>
    <w:pPr>
      <w:outlineLvl w:val="0"/>
    </w:pPr>
    <w:rPr>
      <w:b/>
      <w:sz w:val="28"/>
    </w:rPr>
  </w:style>
  <w:style w:type="paragraph" w:styleId="Heading2">
    <w:name w:val="heading 2"/>
    <w:basedOn w:val="Normal"/>
    <w:next w:val="Normal"/>
    <w:link w:val="Heading2Char"/>
    <w:uiPriority w:val="9"/>
    <w:unhideWhenUsed/>
    <w:qFormat/>
    <w:rsid w:val="00266397"/>
    <w:pPr>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397"/>
    <w:rPr>
      <w:b/>
      <w:sz w:val="28"/>
    </w:rPr>
  </w:style>
  <w:style w:type="character" w:customStyle="1" w:styleId="Heading2Char">
    <w:name w:val="Heading 2 Char"/>
    <w:basedOn w:val="DefaultParagraphFont"/>
    <w:link w:val="Heading2"/>
    <w:uiPriority w:val="9"/>
    <w:rsid w:val="00266397"/>
    <w:rPr>
      <w:b/>
      <w:i/>
    </w:rPr>
  </w:style>
  <w:style w:type="paragraph" w:styleId="NormalWeb">
    <w:name w:val="Normal (Web)"/>
    <w:basedOn w:val="Normal"/>
    <w:uiPriority w:val="99"/>
    <w:unhideWhenUsed/>
    <w:rsid w:val="007F7F4C"/>
    <w:pPr>
      <w:spacing w:before="100" w:beforeAutospacing="1" w:after="100" w:afterAutospacing="1"/>
    </w:pPr>
    <w:rPr>
      <w:rFonts w:eastAsia="Times New Roman" w:cs="Times New Roman"/>
      <w:szCs w:val="24"/>
    </w:rPr>
  </w:style>
  <w:style w:type="character" w:customStyle="1" w:styleId="apple-tab-span">
    <w:name w:val="apple-tab-span"/>
    <w:basedOn w:val="DefaultParagraphFont"/>
    <w:rsid w:val="007F7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6481">
      <w:bodyDiv w:val="1"/>
      <w:marLeft w:val="0"/>
      <w:marRight w:val="0"/>
      <w:marTop w:val="0"/>
      <w:marBottom w:val="0"/>
      <w:divBdr>
        <w:top w:val="none" w:sz="0" w:space="0" w:color="auto"/>
        <w:left w:val="none" w:sz="0" w:space="0" w:color="auto"/>
        <w:bottom w:val="none" w:sz="0" w:space="0" w:color="auto"/>
        <w:right w:val="none" w:sz="0" w:space="0" w:color="auto"/>
      </w:divBdr>
    </w:div>
    <w:div w:id="343631311">
      <w:bodyDiv w:val="1"/>
      <w:marLeft w:val="0"/>
      <w:marRight w:val="0"/>
      <w:marTop w:val="0"/>
      <w:marBottom w:val="0"/>
      <w:divBdr>
        <w:top w:val="none" w:sz="0" w:space="0" w:color="auto"/>
        <w:left w:val="none" w:sz="0" w:space="0" w:color="auto"/>
        <w:bottom w:val="none" w:sz="0" w:space="0" w:color="auto"/>
        <w:right w:val="none" w:sz="0" w:space="0" w:color="auto"/>
      </w:divBdr>
    </w:div>
    <w:div w:id="66375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7</Pages>
  <Words>3354</Words>
  <Characters>19120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Sadler</dc:creator>
  <cp:keywords/>
  <dc:description/>
  <cp:lastModifiedBy>Richard Sadler</cp:lastModifiedBy>
  <cp:revision>41</cp:revision>
  <dcterms:created xsi:type="dcterms:W3CDTF">2015-10-26T16:47:00Z</dcterms:created>
  <dcterms:modified xsi:type="dcterms:W3CDTF">2016-01-04T19:48:00Z</dcterms:modified>
</cp:coreProperties>
</file>